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3715BF">
      <w:pPr>
        <w:rPr>
          <w:rFonts w:hint="eastAsia" w:ascii="黑体" w:hAnsi="黑体" w:eastAsia="黑体"/>
          <w:sz w:val="32"/>
          <w:szCs w:val="32"/>
        </w:rPr>
      </w:pPr>
    </w:p>
    <w:p w14:paraId="534A3041">
      <w:pPr>
        <w:ind w:firstLine="880"/>
        <w:jc w:val="center"/>
        <w:rPr>
          <w:rFonts w:hint="eastAsia" w:ascii="方正小标宋_GBK" w:hAnsi="宋体" w:eastAsia="方正小标宋_GBK"/>
          <w:sz w:val="44"/>
          <w:szCs w:val="44"/>
        </w:rPr>
      </w:pPr>
    </w:p>
    <w:p w14:paraId="602A0EB8">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木垒哈萨克自治县大石头乡中心学校</w:t>
      </w:r>
    </w:p>
    <w:p w14:paraId="48839245">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7A8F2A58">
      <w:pPr>
        <w:ind w:firstLine="880"/>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61586488">
      <w:pPr>
        <w:ind w:firstLine="880"/>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1715AB45">
      <w:pPr>
        <w:ind w:firstLine="723"/>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35584531">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16633B7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7EC6BAA">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43EB3E23">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2BB956A">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615FCF09">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339669B5">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2C620BA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8653F9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F4623E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70DB5144">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8C9988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58ECA857">
      <w:pPr>
        <w:ind w:firstLine="420"/>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0A02E7C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C826C6D">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2864EBE">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5878AE5">
      <w:pPr>
        <w:pStyle w:val="3"/>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0BE82BB1">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64E0D720">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20A9DED0">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2FD59287">
      <w:pPr>
        <w:pStyle w:val="6"/>
        <w:tabs>
          <w:tab w:val="right" w:pos="8306"/>
        </w:tabs>
        <w:ind w:firstLine="420"/>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F630B07">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5AAD80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62F094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55846048">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26E826C">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48E4206">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1087C363">
      <w:pPr>
        <w:pStyle w:val="7"/>
        <w:tabs>
          <w:tab w:val="right" w:pos="8306"/>
        </w:tabs>
        <w:ind w:left="0" w:leftChars="0" w:firstLine="42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435F7353">
      <w:pPr>
        <w:pStyle w:val="7"/>
        <w:tabs>
          <w:tab w:val="right" w:pos="8306"/>
        </w:tabs>
        <w:ind w:left="0" w:leftChars="0" w:firstLine="42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3FD80022">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5C89EF0B">
      <w:r>
        <w:rPr>
          <w:rFonts w:hint="eastAsia" w:ascii="仿宋_GB2312" w:hAnsi="仿宋_GB2312" w:eastAsia="仿宋_GB2312" w:cs="仿宋_GB2312"/>
          <w:sz w:val="32"/>
          <w:szCs w:val="32"/>
        </w:rPr>
        <w:fldChar w:fldCharType="end"/>
      </w:r>
    </w:p>
    <w:p w14:paraId="32A458E8">
      <w:pPr>
        <w:rPr>
          <w:rFonts w:ascii="仿宋_GB2312" w:eastAsia="仿宋_GB2312"/>
          <w:sz w:val="32"/>
          <w:szCs w:val="32"/>
        </w:rPr>
      </w:pPr>
      <w:r>
        <w:rPr>
          <w:rFonts w:hint="eastAsia" w:ascii="仿宋_GB2312" w:eastAsia="仿宋_GB2312"/>
          <w:sz w:val="32"/>
          <w:szCs w:val="32"/>
        </w:rPr>
        <w:br w:type="page"/>
      </w:r>
    </w:p>
    <w:p w14:paraId="65F382F0">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49F3160A">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0DA16A35">
      <w:pPr>
        <w:ind w:firstLine="640" w:firstLineChars="200"/>
        <w:rPr>
          <w:rFonts w:ascii="仿宋_GB2312" w:eastAsia="仿宋_GB2312"/>
          <w:sz w:val="32"/>
          <w:szCs w:val="32"/>
        </w:rPr>
      </w:pPr>
      <w:bookmarkStart w:id="4" w:name="_Toc31238"/>
      <w:bookmarkStart w:id="5" w:name="_Toc2151"/>
      <w:r>
        <w:rPr>
          <w:rFonts w:hint="eastAsia" w:ascii="仿宋_GB2312" w:eastAsia="仿宋_GB2312"/>
          <w:sz w:val="32"/>
          <w:szCs w:val="32"/>
        </w:rPr>
        <w:t>1.学前教育</w:t>
      </w:r>
    </w:p>
    <w:p w14:paraId="04742E4D">
      <w:pPr>
        <w:ind w:firstLine="640" w:firstLineChars="200"/>
        <w:rPr>
          <w:rFonts w:ascii="仿宋_GB2312" w:eastAsia="仿宋_GB2312"/>
          <w:sz w:val="32"/>
          <w:szCs w:val="32"/>
        </w:rPr>
      </w:pPr>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主动的去思考、去实践，感受其中的乐趣。建构健康、平等、和谐的师幼环境，要求教师爱护、尊重、赏识每一个孩子，平等、宽容地对待每一个孩子，站在孩子的立场，积极鼓励孩子，努力使他们成为自信、活泼、健康、快乐的孩子。</w:t>
      </w:r>
    </w:p>
    <w:p w14:paraId="7820F88A">
      <w:pPr>
        <w:ind w:firstLine="640" w:firstLineChars="200"/>
        <w:rPr>
          <w:rFonts w:ascii="仿宋_GB2312" w:eastAsia="仿宋_GB2312"/>
          <w:sz w:val="32"/>
          <w:szCs w:val="32"/>
        </w:rPr>
      </w:pPr>
      <w:r>
        <w:rPr>
          <w:rFonts w:hint="eastAsia" w:ascii="仿宋_GB2312" w:eastAsia="仿宋_GB2312"/>
          <w:sz w:val="32"/>
          <w:szCs w:val="32"/>
        </w:rPr>
        <w:t>2.小学教育</w:t>
      </w:r>
    </w:p>
    <w:p w14:paraId="23EBCBA8">
      <w:pPr>
        <w:ind w:firstLine="640" w:firstLineChars="200"/>
        <w:rPr>
          <w:rFonts w:ascii="仿宋_GB2312" w:eastAsia="仿宋_GB2312"/>
          <w:sz w:val="32"/>
          <w:szCs w:val="32"/>
        </w:rPr>
      </w:pPr>
      <w:r>
        <w:rPr>
          <w:rFonts w:hint="eastAsia" w:ascii="仿宋_GB2312" w:eastAsia="仿宋_GB2312"/>
          <w:sz w:val="32"/>
          <w:szCs w:val="32"/>
        </w:rPr>
        <w:t>正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w:t>
      </w:r>
    </w:p>
    <w:p w14:paraId="27F0B9E2">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5917E260">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木垒哈萨克自治县大石头乡中心学校2023年度，实有人数</w:t>
      </w:r>
      <w:r>
        <w:rPr>
          <w:rFonts w:hint="eastAsia" w:ascii="仿宋_GB2312" w:eastAsia="仿宋_GB2312"/>
          <w:sz w:val="32"/>
          <w:szCs w:val="32"/>
          <w:lang w:val="zh-CN"/>
        </w:rPr>
        <w:t>199</w:t>
      </w:r>
      <w:r>
        <w:rPr>
          <w:rFonts w:hint="eastAsia" w:ascii="仿宋_GB2312" w:eastAsia="仿宋_GB2312"/>
          <w:sz w:val="32"/>
          <w:szCs w:val="32"/>
        </w:rPr>
        <w:t>人，其中：在职人员</w:t>
      </w:r>
      <w:r>
        <w:rPr>
          <w:rFonts w:hint="eastAsia" w:ascii="仿宋_GB2312" w:eastAsia="仿宋_GB2312"/>
          <w:sz w:val="32"/>
          <w:szCs w:val="32"/>
          <w:lang w:val="zh-CN"/>
        </w:rPr>
        <w:t>157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42</w:t>
      </w:r>
      <w:r>
        <w:rPr>
          <w:rFonts w:hint="eastAsia" w:ascii="仿宋_GB2312" w:eastAsia="仿宋_GB2312"/>
          <w:sz w:val="32"/>
          <w:szCs w:val="32"/>
        </w:rPr>
        <w:t>人。</w:t>
      </w:r>
    </w:p>
    <w:p w14:paraId="46A1266D">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单位无下属预算单位，下设4个处室，分别是：教务室、德育室、总务室、财务室</w:t>
      </w:r>
      <w:r>
        <w:rPr>
          <w:rFonts w:hint="eastAsia" w:ascii="仿宋_GB2312" w:hAnsi="宋体" w:eastAsia="仿宋_GB2312" w:cs="宋体"/>
          <w:kern w:val="0"/>
          <w:sz w:val="32"/>
          <w:szCs w:val="32"/>
        </w:rPr>
        <w:t>。</w:t>
      </w:r>
    </w:p>
    <w:p w14:paraId="33923084">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A5BF7B9">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53B176D">
      <w:pPr>
        <w:ind w:firstLine="640" w:firstLineChars="200"/>
        <w:jc w:val="left"/>
        <w:rPr>
          <w:rFonts w:ascii="仿宋_GB2312" w:eastAsia="仿宋_GB2312"/>
          <w:sz w:val="32"/>
          <w:szCs w:val="32"/>
        </w:rPr>
      </w:pPr>
      <w:r>
        <w:rPr>
          <w:rFonts w:hint="eastAsia" w:ascii="仿宋_GB2312" w:eastAsia="仿宋_GB2312"/>
          <w:sz w:val="32"/>
          <w:szCs w:val="32"/>
        </w:rPr>
        <w:t>2023年度收入总计3,359.73万元，其中：本年收入合计3,359.73万元，使用非财政拨款结余0.00万元，年初结转和结余0.00万元。</w:t>
      </w:r>
    </w:p>
    <w:p w14:paraId="46FE724F">
      <w:pPr>
        <w:ind w:firstLine="640" w:firstLineChars="200"/>
        <w:jc w:val="left"/>
        <w:rPr>
          <w:rFonts w:ascii="仿宋_GB2312" w:eastAsia="仿宋_GB2312"/>
          <w:sz w:val="32"/>
          <w:szCs w:val="32"/>
        </w:rPr>
      </w:pPr>
      <w:r>
        <w:rPr>
          <w:rFonts w:hint="eastAsia" w:ascii="仿宋_GB2312" w:eastAsia="仿宋_GB2312"/>
          <w:sz w:val="32"/>
          <w:szCs w:val="32"/>
        </w:rPr>
        <w:t>2023年度支出总计3,359.73万元，其中：本年支出合计3,352.74万元，结余分配0.00万元，年末结转和结余7.00万元。</w:t>
      </w:r>
    </w:p>
    <w:p w14:paraId="2A742601">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增加262.95万元</w:t>
      </w:r>
      <w:r>
        <w:rPr>
          <w:rFonts w:hint="eastAsia" w:ascii="仿宋_GB2312" w:eastAsia="仿宋_GB2312"/>
          <w:sz w:val="32"/>
          <w:szCs w:val="32"/>
        </w:rPr>
        <w:t>，增长8.49%，主要原因是：单位本年英格堡学校人员分流调入，工资、津贴补贴、奖金增加。</w:t>
      </w:r>
    </w:p>
    <w:p w14:paraId="44E2BE05">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9A08E7F">
      <w:pPr>
        <w:ind w:firstLine="640" w:firstLineChars="200"/>
        <w:jc w:val="left"/>
        <w:rPr>
          <w:rFonts w:ascii="仿宋_GB2312" w:eastAsia="仿宋_GB2312"/>
          <w:sz w:val="32"/>
          <w:szCs w:val="32"/>
        </w:rPr>
      </w:pPr>
      <w:r>
        <w:rPr>
          <w:rFonts w:hint="eastAsia" w:ascii="仿宋_GB2312" w:eastAsia="仿宋_GB2312"/>
          <w:sz w:val="32"/>
          <w:szCs w:val="32"/>
        </w:rPr>
        <w:t>本年收入3,359.73万元，其中：财政拨款收入</w:t>
      </w:r>
      <w:r>
        <w:rPr>
          <w:rFonts w:hint="eastAsia" w:ascii="仿宋_GB2312" w:eastAsia="仿宋_GB2312"/>
          <w:sz w:val="32"/>
          <w:szCs w:val="32"/>
          <w:lang w:val="zh-CN"/>
        </w:rPr>
        <w:t>3,317.26</w:t>
      </w:r>
      <w:r>
        <w:rPr>
          <w:rFonts w:hint="eastAsia" w:ascii="仿宋_GB2312" w:eastAsia="仿宋_GB2312"/>
          <w:sz w:val="32"/>
          <w:szCs w:val="32"/>
        </w:rPr>
        <w:t>万元，占</w:t>
      </w:r>
      <w:r>
        <w:rPr>
          <w:rFonts w:hint="eastAsia" w:ascii="仿宋_GB2312" w:eastAsia="仿宋_GB2312"/>
          <w:sz w:val="32"/>
          <w:szCs w:val="32"/>
          <w:lang w:val="zh-CN"/>
        </w:rPr>
        <w:t>98.74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42.4</w:t>
      </w:r>
      <w:r>
        <w:rPr>
          <w:rFonts w:hint="eastAsia" w:ascii="仿宋_GB2312" w:eastAsia="仿宋_GB2312"/>
          <w:sz w:val="32"/>
          <w:szCs w:val="32"/>
          <w:lang w:val="en-US" w:eastAsia="zh-CN"/>
        </w:rPr>
        <w:t>8</w:t>
      </w:r>
      <w:r>
        <w:rPr>
          <w:rFonts w:hint="eastAsia" w:ascii="仿宋_GB2312" w:eastAsia="仿宋_GB2312"/>
          <w:sz w:val="32"/>
          <w:szCs w:val="32"/>
        </w:rPr>
        <w:t>万元，占</w:t>
      </w:r>
      <w:r>
        <w:rPr>
          <w:rFonts w:hint="eastAsia" w:ascii="仿宋_GB2312" w:eastAsia="仿宋_GB2312"/>
          <w:sz w:val="32"/>
          <w:szCs w:val="32"/>
          <w:lang w:val="zh-CN"/>
        </w:rPr>
        <w:t>1.26</w:t>
      </w:r>
      <w:r>
        <w:rPr>
          <w:rFonts w:hint="eastAsia" w:ascii="仿宋_GB2312" w:eastAsia="仿宋_GB2312"/>
          <w:sz w:val="32"/>
          <w:szCs w:val="32"/>
        </w:rPr>
        <w:t>%。</w:t>
      </w:r>
    </w:p>
    <w:p w14:paraId="2F877F52">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C2C36D1">
      <w:pPr>
        <w:ind w:firstLine="640" w:firstLineChars="200"/>
        <w:jc w:val="left"/>
        <w:rPr>
          <w:rFonts w:ascii="仿宋_GB2312" w:eastAsia="仿宋_GB2312"/>
          <w:sz w:val="32"/>
          <w:szCs w:val="32"/>
          <w:lang w:val="zh-CN"/>
        </w:rPr>
      </w:pPr>
      <w:r>
        <w:rPr>
          <w:rFonts w:hint="eastAsia" w:eastAsia="仿宋_GB2312" w:cs="仿宋_GB2312"/>
          <w:sz w:val="32"/>
          <w:szCs w:val="32"/>
          <w:lang w:val="zh-CN"/>
        </w:rPr>
        <w:t>本</w:t>
      </w:r>
      <w:r>
        <w:rPr>
          <w:rFonts w:hint="eastAsia" w:ascii="仿宋_GB2312" w:eastAsia="仿宋_GB2312"/>
          <w:sz w:val="32"/>
          <w:szCs w:val="32"/>
          <w:lang w:val="zh-CN"/>
        </w:rPr>
        <w:t>年支出3,352.74万元，其中：基本支出3,128.55万元，占93.31%；项目支出224.19万元，占6.69%；上缴上级支出0.00万元，占0.00%；经营支出0.00万元，占0.00%；对附属单位补助支出0.00万元，占0.00%。</w:t>
      </w:r>
    </w:p>
    <w:p w14:paraId="473FDB73">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77D2976D">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3,317.26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3,317.26</w:t>
      </w:r>
      <w:r>
        <w:rPr>
          <w:rFonts w:hint="eastAsia" w:ascii="仿宋_GB2312" w:eastAsia="仿宋_GB2312"/>
          <w:sz w:val="32"/>
          <w:szCs w:val="32"/>
        </w:rPr>
        <w:t>万元。财政拨款支出总计</w:t>
      </w:r>
      <w:r>
        <w:rPr>
          <w:rFonts w:hint="eastAsia" w:ascii="仿宋_GB2312" w:eastAsia="仿宋_GB2312"/>
          <w:sz w:val="32"/>
          <w:szCs w:val="32"/>
          <w:lang w:val="zh-CN"/>
        </w:rPr>
        <w:t>3,317.26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3,317.26</w:t>
      </w:r>
      <w:r>
        <w:rPr>
          <w:rFonts w:hint="eastAsia" w:ascii="仿宋_GB2312" w:eastAsia="仿宋_GB2312"/>
          <w:sz w:val="32"/>
          <w:szCs w:val="32"/>
        </w:rPr>
        <w:t>万元。</w:t>
      </w:r>
    </w:p>
    <w:p w14:paraId="650829D4">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万元，预决算差异率6.35%，主要原因是：单位本年调增基础绩效工资。</w:t>
      </w:r>
    </w:p>
    <w:p w14:paraId="0539A653">
      <w:pPr>
        <w:ind w:firstLine="640" w:firstLineChars="200"/>
        <w:jc w:val="left"/>
        <w:outlineLvl w:val="1"/>
        <w:rPr>
          <w:rFonts w:hint="eastAsia"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14:paraId="0FAE7EBE">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34410887">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2023年度一般公共预算财政拨款支出3,317.26万元，占本年支出合计的</w:t>
      </w:r>
      <w:r>
        <w:rPr>
          <w:rFonts w:hint="eastAsia" w:ascii="仿宋_GB2312" w:eastAsia="仿宋_GB2312"/>
          <w:sz w:val="32"/>
          <w:szCs w:val="32"/>
          <w:lang w:val="zh-CN"/>
        </w:rPr>
        <w:t>98.94%</w:t>
      </w:r>
      <w:r>
        <w:rPr>
          <w:rFonts w:hint="eastAsia" w:ascii="仿宋_GB2312" w:eastAsia="仿宋_GB2312"/>
          <w:sz w:val="32"/>
          <w:szCs w:val="32"/>
        </w:rPr>
        <w:t>。与上年相比，</w:t>
      </w:r>
      <w:r>
        <w:rPr>
          <w:rFonts w:hint="eastAsia" w:ascii="仿宋_GB2312" w:eastAsia="仿宋_GB2312"/>
          <w:sz w:val="32"/>
          <w:szCs w:val="32"/>
          <w:lang w:val="zh-CN"/>
        </w:rPr>
        <w:t>增加220.48万元</w:t>
      </w:r>
      <w:r>
        <w:rPr>
          <w:rFonts w:hint="eastAsia" w:ascii="仿宋_GB2312" w:eastAsia="仿宋_GB2312"/>
          <w:sz w:val="32"/>
          <w:szCs w:val="32"/>
        </w:rPr>
        <w:t>，增长7.12%,主要原因是：单位本年英格堡学校人员分流调入，工资、津贴补贴、奖金增加。与年初预算相比，年初预算数</w:t>
      </w:r>
      <w:r>
        <w:rPr>
          <w:rFonts w:hint="eastAsia" w:ascii="仿宋_GB2312" w:eastAsia="仿宋_GB2312"/>
          <w:sz w:val="32"/>
          <w:szCs w:val="32"/>
          <w:lang w:val="zh-CN"/>
        </w:rPr>
        <w:t>3,119.27</w:t>
      </w:r>
      <w:r>
        <w:rPr>
          <w:rFonts w:hint="eastAsia" w:ascii="仿宋_GB2312" w:eastAsia="仿宋_GB2312"/>
          <w:sz w:val="32"/>
          <w:szCs w:val="32"/>
        </w:rPr>
        <w:t>万元，决算数</w:t>
      </w:r>
      <w:r>
        <w:rPr>
          <w:rFonts w:hint="eastAsia" w:ascii="仿宋_GB2312" w:eastAsia="仿宋_GB2312"/>
          <w:sz w:val="32"/>
          <w:szCs w:val="32"/>
          <w:lang w:val="zh-CN"/>
        </w:rPr>
        <w:t>3,317.26</w:t>
      </w:r>
      <w:r>
        <w:rPr>
          <w:rFonts w:hint="eastAsia" w:ascii="仿宋_GB2312" w:eastAsia="仿宋_GB2312"/>
          <w:sz w:val="32"/>
          <w:szCs w:val="32"/>
        </w:rPr>
        <w:t>万元，预决算差异率</w:t>
      </w:r>
      <w:r>
        <w:rPr>
          <w:rFonts w:hint="eastAsia" w:ascii="仿宋_GB2312" w:eastAsia="仿宋_GB2312"/>
          <w:sz w:val="32"/>
          <w:szCs w:val="32"/>
          <w:lang w:val="zh-CN"/>
        </w:rPr>
        <w:t>6.35%</w:t>
      </w:r>
      <w:r>
        <w:rPr>
          <w:rFonts w:hint="eastAsia" w:ascii="仿宋_GB2312" w:eastAsia="仿宋_GB2312"/>
          <w:sz w:val="32"/>
          <w:szCs w:val="32"/>
        </w:rPr>
        <w:t>，主要原因是：单位本年调增基础绩效工资。</w:t>
      </w:r>
    </w:p>
    <w:p w14:paraId="3DF10427">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2390F3A">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3,157.60</w:t>
      </w:r>
      <w:r>
        <w:rPr>
          <w:rFonts w:ascii="仿宋_GB2312" w:eastAsia="仿宋_GB2312"/>
          <w:kern w:val="2"/>
          <w:sz w:val="32"/>
          <w:szCs w:val="32"/>
          <w:lang w:val="zh-CN"/>
        </w:rPr>
        <w:t>万元，占</w:t>
      </w:r>
      <w:r>
        <w:rPr>
          <w:rFonts w:hint="eastAsia" w:ascii="仿宋_GB2312" w:eastAsia="仿宋_GB2312"/>
          <w:kern w:val="2"/>
          <w:sz w:val="32"/>
          <w:szCs w:val="32"/>
          <w:lang w:val="zh-CN"/>
        </w:rPr>
        <w:t>95.19</w:t>
      </w:r>
      <w:r>
        <w:rPr>
          <w:rFonts w:ascii="仿宋_GB2312" w:eastAsia="仿宋_GB2312"/>
          <w:kern w:val="2"/>
          <w:sz w:val="32"/>
          <w:szCs w:val="32"/>
          <w:lang w:val="zh-CN"/>
        </w:rPr>
        <w:t>%；</w:t>
      </w:r>
    </w:p>
    <w:p w14:paraId="420A13B7">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159.65</w:t>
      </w:r>
      <w:r>
        <w:rPr>
          <w:rFonts w:ascii="仿宋_GB2312" w:eastAsia="仿宋_GB2312"/>
          <w:kern w:val="2"/>
          <w:sz w:val="32"/>
          <w:szCs w:val="32"/>
          <w:lang w:val="zh-CN"/>
        </w:rPr>
        <w:t>万元，占</w:t>
      </w:r>
      <w:r>
        <w:rPr>
          <w:rFonts w:hint="eastAsia" w:ascii="仿宋_GB2312" w:eastAsia="仿宋_GB2312"/>
          <w:kern w:val="2"/>
          <w:sz w:val="32"/>
          <w:szCs w:val="32"/>
          <w:lang w:val="zh-CN"/>
        </w:rPr>
        <w:t>4.81</w:t>
      </w:r>
      <w:r>
        <w:rPr>
          <w:rFonts w:ascii="仿宋_GB2312" w:eastAsia="仿宋_GB2312"/>
          <w:kern w:val="2"/>
          <w:sz w:val="32"/>
          <w:szCs w:val="32"/>
          <w:lang w:val="zh-CN"/>
        </w:rPr>
        <w:t>%</w:t>
      </w:r>
      <w:r>
        <w:rPr>
          <w:rFonts w:hint="eastAsia" w:ascii="仿宋_GB2312" w:eastAsia="仿宋_GB2312"/>
          <w:kern w:val="2"/>
          <w:sz w:val="32"/>
          <w:szCs w:val="32"/>
        </w:rPr>
        <w:t>。</w:t>
      </w:r>
    </w:p>
    <w:p w14:paraId="17A31FA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8034BF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1.教育支出（类）教育费附加安排的支出（款）其他教育费附加安排的支出（项）:支出决算数为10.35万元，比上年决算增加10.35万元，增长100%，主要原因是：单位本</w:t>
      </w:r>
      <w:r>
        <w:rPr>
          <w:rFonts w:hint="eastAsia" w:ascii="仿宋_GB2312" w:eastAsia="仿宋_GB2312"/>
          <w:sz w:val="32"/>
          <w:szCs w:val="32"/>
          <w:lang w:val="zh-CN"/>
        </w:rPr>
        <w:t>年</w:t>
      </w:r>
      <w:r>
        <w:rPr>
          <w:rFonts w:hint="eastAsia" w:ascii="仿宋_GB2312" w:eastAsia="仿宋_GB2312"/>
          <w:sz w:val="32"/>
          <w:szCs w:val="32"/>
        </w:rPr>
        <w:t>新增</w:t>
      </w:r>
      <w:r>
        <w:rPr>
          <w:rFonts w:hint="eastAsia" w:ascii="仿宋_GB2312" w:eastAsia="仿宋_GB2312"/>
          <w:sz w:val="32"/>
          <w:szCs w:val="32"/>
          <w:lang w:val="zh-CN"/>
        </w:rPr>
        <w:t>课后服务项目经费。</w:t>
      </w:r>
    </w:p>
    <w:p w14:paraId="61876427">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2.社会保障和就业支出（类）抚恤（款）死亡抚恤（项）:支出决算数为77.49万元，比上年决算增加66.55万元，增长608.</w:t>
      </w:r>
      <w:r>
        <w:rPr>
          <w:rFonts w:hint="eastAsia" w:ascii="仿宋_GB2312" w:eastAsia="仿宋_GB2312"/>
          <w:sz w:val="32"/>
          <w:szCs w:val="32"/>
          <w:lang w:val="en-US" w:eastAsia="zh-CN"/>
        </w:rPr>
        <w:t>32</w:t>
      </w:r>
      <w:r>
        <w:rPr>
          <w:rFonts w:hint="eastAsia" w:ascii="仿宋_GB2312" w:eastAsia="仿宋_GB2312"/>
          <w:sz w:val="32"/>
          <w:szCs w:val="32"/>
        </w:rPr>
        <w:t>%，主要原因是：单位</w:t>
      </w:r>
      <w:r>
        <w:rPr>
          <w:rFonts w:hint="eastAsia" w:ascii="仿宋_GB2312" w:eastAsia="仿宋_GB2312"/>
          <w:sz w:val="32"/>
          <w:szCs w:val="32"/>
          <w:lang w:val="zh-CN"/>
        </w:rPr>
        <w:t>本年退休死亡人数较上年度增加，死亡抚恤金增加。</w:t>
      </w:r>
    </w:p>
    <w:p w14:paraId="221A294D">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3.教育支出（类）普通教育（款）小学教育（项）:支出决算数为2,655.21万元，比上年决算减少61.22万元，下降2.25%，主要原因是：单位本年</w:t>
      </w:r>
      <w:r>
        <w:rPr>
          <w:rFonts w:hint="eastAsia" w:ascii="仿宋_GB2312" w:eastAsia="仿宋_GB2312"/>
          <w:sz w:val="32"/>
          <w:szCs w:val="32"/>
          <w:lang w:val="zh-CN"/>
        </w:rPr>
        <w:t>城乡义务教育补助经费</w:t>
      </w:r>
      <w:r>
        <w:rPr>
          <w:rFonts w:hint="eastAsia" w:ascii="仿宋_GB2312" w:eastAsia="仿宋_GB2312"/>
          <w:sz w:val="32"/>
          <w:szCs w:val="32"/>
        </w:rPr>
        <w:t>减少</w:t>
      </w:r>
      <w:r>
        <w:rPr>
          <w:rFonts w:hint="eastAsia" w:ascii="仿宋_GB2312" w:eastAsia="仿宋_GB2312"/>
          <w:sz w:val="32"/>
          <w:szCs w:val="32"/>
          <w:lang w:val="zh-CN"/>
        </w:rPr>
        <w:t>。</w:t>
      </w:r>
    </w:p>
    <w:p w14:paraId="60AF2F7C">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4.社会保障和就业支出（类）行政事业单位养老支出（款）事业单位离退休（项）:支出决算数为12.36万元，比上年决算增加7.86万元，增长174.</w:t>
      </w:r>
      <w:r>
        <w:rPr>
          <w:rFonts w:hint="eastAsia" w:ascii="仿宋_GB2312" w:eastAsia="仿宋_GB2312"/>
          <w:sz w:val="32"/>
          <w:szCs w:val="32"/>
          <w:lang w:val="en-US" w:eastAsia="zh-CN"/>
        </w:rPr>
        <w:t>67</w:t>
      </w:r>
      <w:r>
        <w:rPr>
          <w:rFonts w:hint="eastAsia" w:ascii="仿宋_GB2312" w:eastAsia="仿宋_GB2312"/>
          <w:sz w:val="32"/>
          <w:szCs w:val="32"/>
        </w:rPr>
        <w:t>%，主要原因是：单位本年退休人数较上年度增加，退休费用增加</w:t>
      </w:r>
      <w:r>
        <w:rPr>
          <w:rFonts w:hint="eastAsia" w:ascii="仿宋_GB2312" w:eastAsia="仿宋_GB2312"/>
          <w:sz w:val="32"/>
          <w:szCs w:val="32"/>
          <w:lang w:val="zh-CN"/>
        </w:rPr>
        <w:t>。</w:t>
      </w:r>
    </w:p>
    <w:p w14:paraId="3BBD90F2">
      <w:pPr>
        <w:ind w:firstLine="640" w:firstLineChars="200"/>
        <w:rPr>
          <w:rFonts w:ascii="仿宋_GB2312" w:eastAsia="仿宋_GB2312"/>
          <w:sz w:val="32"/>
          <w:szCs w:val="32"/>
        </w:rPr>
      </w:pPr>
      <w:r>
        <w:rPr>
          <w:rFonts w:hint="eastAsia" w:ascii="仿宋_GB2312" w:eastAsia="仿宋_GB2312"/>
          <w:sz w:val="32"/>
          <w:szCs w:val="32"/>
        </w:rPr>
        <w:t>5.教育支出（类）普通教育（款）学前教育（项）:支出决算数为492.04万元，比上年决算增加161.42万元，增长48.82%，主要原因是：单位本年</w:t>
      </w:r>
      <w:r>
        <w:rPr>
          <w:rFonts w:hint="eastAsia" w:ascii="仿宋_GB2312" w:eastAsia="仿宋_GB2312"/>
          <w:sz w:val="32"/>
          <w:szCs w:val="32"/>
          <w:lang w:val="zh-CN"/>
        </w:rPr>
        <w:t>学前三年免费教育保障机制经费</w:t>
      </w:r>
      <w:r>
        <w:rPr>
          <w:rFonts w:hint="eastAsia" w:ascii="仿宋_GB2312" w:eastAsia="仿宋_GB2312"/>
          <w:sz w:val="32"/>
          <w:szCs w:val="32"/>
        </w:rPr>
        <w:t>增加。</w:t>
      </w:r>
    </w:p>
    <w:p w14:paraId="726E7924">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6.社会保障和就业支出（类）行政事业单位养老支出（款）机关事业单位职业年金缴费支出（项）:支出决算数为69.80万元，比上年决算增加50.51万元，增长261.8</w:t>
      </w:r>
      <w:r>
        <w:rPr>
          <w:rFonts w:hint="eastAsia" w:ascii="仿宋_GB2312" w:eastAsia="仿宋_GB2312"/>
          <w:sz w:val="32"/>
          <w:szCs w:val="32"/>
          <w:lang w:val="en-US" w:eastAsia="zh-CN"/>
        </w:rPr>
        <w:t>5</w:t>
      </w:r>
      <w:bookmarkStart w:id="48" w:name="_GoBack"/>
      <w:bookmarkEnd w:id="48"/>
      <w:r>
        <w:rPr>
          <w:rFonts w:hint="eastAsia" w:ascii="仿宋_GB2312" w:eastAsia="仿宋_GB2312"/>
          <w:sz w:val="32"/>
          <w:szCs w:val="32"/>
        </w:rPr>
        <w:t>%，主要原因是：单位本年</w:t>
      </w:r>
      <w:r>
        <w:rPr>
          <w:rFonts w:hint="eastAsia" w:ascii="仿宋_GB2312" w:eastAsia="仿宋_GB2312"/>
          <w:sz w:val="32"/>
          <w:szCs w:val="32"/>
          <w:lang w:val="zh-CN"/>
        </w:rPr>
        <w:t>退休人数增加，职业年金费用增加。</w:t>
      </w:r>
    </w:p>
    <w:p w14:paraId="132A4321">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7.教育支出（类）教育费附加安排的支出（款）农村中小学教学设施（项）:支出决算数为0.00万元，比上年决算减少15.00万元，下降100%，主要原因是：单位本年农村中小学教学设施项目经费减少</w:t>
      </w:r>
      <w:r>
        <w:rPr>
          <w:rFonts w:hint="eastAsia" w:ascii="仿宋_GB2312" w:eastAsia="仿宋_GB2312"/>
          <w:sz w:val="32"/>
          <w:szCs w:val="32"/>
          <w:lang w:val="zh-CN"/>
        </w:rPr>
        <w:t>。</w:t>
      </w:r>
    </w:p>
    <w:p w14:paraId="575E15F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4F7C86EE">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3,128.55万元，其中：人员经费3,086.41万元，包括：基本工资、津贴补贴、奖金、机关事业单位基本养老保险缴费、职业年金缴费、职工基本医疗保险缴费、其他社会保障缴费、住房公积金、退休费、抚恤金、生活补助、奖励金、其他对个人和家庭的补助。</w:t>
      </w:r>
    </w:p>
    <w:p w14:paraId="77514421">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公用经费42.14万元，包括：办公费、电费、取暖费。</w:t>
      </w:r>
    </w:p>
    <w:p w14:paraId="03AFA6DE">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04A1565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3C78EF5D">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0683946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0E04607">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36EB26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631D46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70AF0E32">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06C081CA">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223FCBF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0480BBAB">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59AC490A">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17AEE22">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40E5E9A">
      <w:pPr>
        <w:ind w:firstLine="640" w:firstLineChars="200"/>
        <w:jc w:val="left"/>
        <w:rPr>
          <w:rFonts w:ascii="仿宋_GB2312" w:eastAsia="仿宋_GB2312"/>
          <w:sz w:val="32"/>
          <w:szCs w:val="32"/>
          <w:lang w:val="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木垒哈萨克自治县大石头乡中心学校（事业单位）公用经费支出42.14万元，</w:t>
      </w:r>
      <w:r>
        <w:rPr>
          <w:rFonts w:hint="eastAsia" w:ascii="仿宋_GB2312" w:eastAsia="仿宋_GB2312"/>
          <w:sz w:val="32"/>
          <w:szCs w:val="32"/>
          <w:lang w:val="zh-CN"/>
        </w:rPr>
        <w:t>比上年增加14.93万元，增长54.87%，主要原因是：</w:t>
      </w:r>
      <w:r>
        <w:rPr>
          <w:rFonts w:hint="eastAsia" w:ascii="仿宋_GB2312" w:eastAsia="仿宋_GB2312"/>
          <w:sz w:val="32"/>
          <w:szCs w:val="32"/>
        </w:rPr>
        <w:t>单位</w:t>
      </w:r>
      <w:r>
        <w:rPr>
          <w:rFonts w:hint="eastAsia" w:ascii="仿宋_GB2312" w:eastAsia="仿宋_GB2312"/>
          <w:sz w:val="32"/>
          <w:szCs w:val="32"/>
          <w:lang w:val="zh-CN"/>
        </w:rPr>
        <w:t>本年办公费、电费、取暖费，</w:t>
      </w:r>
      <w:r>
        <w:rPr>
          <w:rFonts w:hint="eastAsia" w:ascii="仿宋_GB2312" w:eastAsia="仿宋_GB2312"/>
          <w:sz w:val="32"/>
          <w:szCs w:val="32"/>
        </w:rPr>
        <w:t>较上年</w:t>
      </w:r>
      <w:r>
        <w:rPr>
          <w:rFonts w:hint="eastAsia" w:ascii="仿宋_GB2312" w:eastAsia="仿宋_GB2312"/>
          <w:sz w:val="32"/>
          <w:szCs w:val="32"/>
          <w:lang w:val="zh-CN"/>
        </w:rPr>
        <w:t>增加。</w:t>
      </w:r>
    </w:p>
    <w:p w14:paraId="56500206">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566A96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5216729A">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42376678">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6262F257">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3,059.48</w:t>
      </w:r>
      <w:r>
        <w:rPr>
          <w:rFonts w:hint="eastAsia" w:ascii="仿宋_GB2312" w:eastAsia="仿宋_GB2312"/>
          <w:sz w:val="32"/>
          <w:szCs w:val="32"/>
        </w:rPr>
        <w:t>万元，房</w:t>
      </w:r>
      <w:r>
        <w:rPr>
          <w:rFonts w:hint="eastAsia" w:ascii="仿宋_GB2312" w:eastAsia="仿宋_GB2312"/>
          <w:sz w:val="32"/>
          <w:szCs w:val="32"/>
          <w:lang w:val="zh-CN"/>
        </w:rPr>
        <w:t>屋10</w:t>
      </w:r>
      <w:r>
        <w:rPr>
          <w:rFonts w:hint="eastAsia" w:ascii="仿宋_GB2312" w:eastAsia="仿宋_GB2312"/>
          <w:sz w:val="32"/>
          <w:szCs w:val="32"/>
        </w:rPr>
        <w:t>,</w:t>
      </w:r>
      <w:r>
        <w:rPr>
          <w:rFonts w:hint="eastAsia" w:ascii="仿宋_GB2312" w:eastAsia="仿宋_GB2312"/>
          <w:sz w:val="32"/>
          <w:szCs w:val="32"/>
          <w:lang w:val="zh-CN"/>
        </w:rPr>
        <w:t>943.6</w:t>
      </w:r>
      <w:r>
        <w:rPr>
          <w:rFonts w:hint="eastAsia" w:ascii="仿宋_GB2312" w:eastAsia="仿宋_GB2312"/>
          <w:sz w:val="32"/>
          <w:szCs w:val="32"/>
        </w:rPr>
        <w:t>0</w:t>
      </w:r>
      <w:r>
        <w:rPr>
          <w:rFonts w:hint="eastAsia" w:ascii="仿宋_GB2312" w:eastAsia="仿宋_GB2312"/>
          <w:sz w:val="32"/>
          <w:szCs w:val="32"/>
          <w:lang w:val="zh-CN"/>
        </w:rPr>
        <w:t>平方米，价值2,413.28万元。车辆0辆，价值0.00万元，其中：副部（省）级及以上领导用车0辆、主要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单位本年无其他用车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08F7F144">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2AEF6245">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3,359.73</w:t>
      </w:r>
      <w:r>
        <w:rPr>
          <w:rFonts w:hint="eastAsia" w:ascii="仿宋_GB2312" w:eastAsia="仿宋_GB2312"/>
          <w:sz w:val="32"/>
          <w:szCs w:val="32"/>
        </w:rPr>
        <w:t>万元，实际执行总额</w:t>
      </w:r>
      <w:r>
        <w:rPr>
          <w:rFonts w:ascii="仿宋_GB2312" w:eastAsia="仿宋_GB2312"/>
          <w:sz w:val="32"/>
          <w:szCs w:val="32"/>
        </w:rPr>
        <w:t>3,352.74</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在部门预算整体支出绩效方面都按规定严格执行，合理安排支出，使财政资金发挥出最大的效益。发现的问题及原因：一是绩效运行监控工作由于运行几年来，在绩效目标编制上依然有欠缺；二是绩效目标设立虽然有进步，由于自身原因设立不够准确。下一步改进措施：一是要提高认识，责任落实。要切实加强对整体绩效管理工作的思想认识，削除抵触情绪、畏难情绪，克服压力、困难，推进绩效管理工作深入开展；二是明确部门分工。加强各部门之间合作，有效提高绩效监控管理工作人员的执行能力。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094"/>
        <w:gridCol w:w="950"/>
        <w:gridCol w:w="1267"/>
        <w:gridCol w:w="1283"/>
        <w:gridCol w:w="1217"/>
        <w:gridCol w:w="937"/>
        <w:gridCol w:w="884"/>
        <w:gridCol w:w="890"/>
      </w:tblGrid>
      <w:tr w14:paraId="70F90FBF">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3C99BD1F">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6A11CCE5">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DE0927">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629E8CAF">
        <w:tblPrEx>
          <w:tblCellMar>
            <w:top w:w="0" w:type="dxa"/>
            <w:left w:w="108" w:type="dxa"/>
            <w:bottom w:w="0" w:type="dxa"/>
            <w:right w:w="108" w:type="dxa"/>
          </w:tblCellMar>
        </w:tblPrEx>
        <w:trPr>
          <w:trHeight w:val="66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EE621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428"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580E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木垒哈萨克自治县大石头乡中心学校</w:t>
            </w:r>
          </w:p>
        </w:tc>
      </w:tr>
      <w:tr w14:paraId="37C21B31">
        <w:tblPrEx>
          <w:tblCellMar>
            <w:top w:w="0" w:type="dxa"/>
            <w:left w:w="108" w:type="dxa"/>
            <w:bottom w:w="0" w:type="dxa"/>
            <w:right w:w="108" w:type="dxa"/>
          </w:tblCellMar>
        </w:tblPrEx>
        <w:trPr>
          <w:trHeight w:val="57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787F7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40387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F0A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396FC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82524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C3D7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F1B3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3885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F2DA0D2">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C99F960">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0091C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6023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F0FB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F35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59.74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282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2D3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70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951E6D6">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47F84CA">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15ED7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384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140B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3D8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20.49</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0DED43">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3E3EE">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BEAF8">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8E888F2">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611892A">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C7FFE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B10D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512DAF">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28118">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2F4C7B">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9617ED">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20A1B6">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6DA3F589">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BDAB736">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B3398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6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B1EE1E">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128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308D017">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3,046.03</w:t>
            </w:r>
          </w:p>
        </w:tc>
        <w:tc>
          <w:tcPr>
            <w:tcW w:w="1217"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23B802">
            <w:pPr>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3,039.04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6DA4D">
            <w:pPr>
              <w:ind w:firstLine="400"/>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1A7EF">
            <w:pPr>
              <w:ind w:firstLine="400"/>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9462EE">
            <w:pPr>
              <w:ind w:firstLine="400"/>
              <w:rPr>
                <w:rFonts w:hint="eastAsia" w:ascii="宋体" w:hAnsi="宋体" w:cs="宋体"/>
                <w:color w:val="000000"/>
                <w:sz w:val="20"/>
                <w:szCs w:val="20"/>
              </w:rPr>
            </w:pPr>
            <w:r>
              <w:rPr>
                <w:rFonts w:hint="eastAsia"/>
              </w:rPr>
              <w:t>-</w:t>
            </w:r>
          </w:p>
        </w:tc>
      </w:tr>
      <w:tr w14:paraId="385AAF7F">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F87FF">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E12BF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04C8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6531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2D01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233.47</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A2E87A">
            <w:pPr>
              <w:ind w:firstLine="400"/>
              <w:rPr>
                <w:rFonts w:hint="eastAsia" w:ascii="宋体" w:hAnsi="宋体" w:cs="宋体"/>
                <w:color w:val="000000"/>
                <w:sz w:val="20"/>
                <w:szCs w:val="20"/>
              </w:rPr>
            </w:pPr>
            <w:r>
              <w:rPr>
                <w:rFonts w:hint="eastAsia"/>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BD7C5F">
            <w:pPr>
              <w:ind w:firstLine="400"/>
              <w:rPr>
                <w:rFonts w:hint="eastAsia" w:ascii="宋体" w:hAnsi="宋体" w:cs="宋体"/>
                <w:color w:val="000000"/>
                <w:sz w:val="20"/>
                <w:szCs w:val="20"/>
              </w:rPr>
            </w:pPr>
            <w:r>
              <w:rPr>
                <w:rFonts w:hint="eastAsia"/>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8F923">
            <w:pPr>
              <w:ind w:firstLine="400"/>
              <w:rPr>
                <w:rFonts w:hint="eastAsia" w:ascii="宋体" w:hAnsi="宋体" w:cs="宋体"/>
                <w:color w:val="000000"/>
                <w:sz w:val="20"/>
                <w:szCs w:val="20"/>
              </w:rPr>
            </w:pPr>
            <w:r>
              <w:rPr>
                <w:rFonts w:hint="eastAsia"/>
              </w:rPr>
              <w:t>-</w:t>
            </w:r>
          </w:p>
        </w:tc>
      </w:tr>
      <w:tr w14:paraId="1052D948">
        <w:tblPrEx>
          <w:tblCellMar>
            <w:top w:w="0" w:type="dxa"/>
            <w:left w:w="108" w:type="dxa"/>
            <w:bottom w:w="0" w:type="dxa"/>
            <w:right w:w="108" w:type="dxa"/>
          </w:tblCellMar>
        </w:tblPrEx>
        <w:trPr>
          <w:trHeight w:val="88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0B77AD">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AE7D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CDB3A">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3,119.27</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931BDC">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3,359.73</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A08DF4">
            <w:pPr>
              <w:widowControl/>
              <w:jc w:val="center"/>
              <w:textAlignment w:val="center"/>
              <w:rPr>
                <w:rFonts w:hint="eastAsia" w:ascii="宋体" w:hAnsi="宋体" w:cs="宋体"/>
                <w:color w:val="000000"/>
                <w:kern w:val="0"/>
                <w:sz w:val="20"/>
                <w:szCs w:val="20"/>
                <w:lang w:bidi="ar"/>
              </w:rPr>
            </w:pPr>
            <w:r>
              <w:rPr>
                <w:rFonts w:ascii="宋体" w:hAnsi="宋体" w:cs="宋体"/>
                <w:color w:val="000000"/>
                <w:kern w:val="0"/>
                <w:sz w:val="20"/>
                <w:szCs w:val="20"/>
                <w:lang w:bidi="ar"/>
              </w:rPr>
              <w:t>3,352.74</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2AAF9">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15EA6C">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CF1483">
            <w:pPr>
              <w:widowControl/>
              <w:ind w:firstLine="400"/>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26A17CF">
        <w:tblPrEx>
          <w:tblCellMar>
            <w:top w:w="0" w:type="dxa"/>
            <w:left w:w="108" w:type="dxa"/>
            <w:bottom w:w="0" w:type="dxa"/>
            <w:right w:w="108" w:type="dxa"/>
          </w:tblCellMar>
        </w:tblPrEx>
        <w:trPr>
          <w:trHeight w:val="705"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566640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17C485">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2EDAFEB4">
            <w:pPr>
              <w:widowControl/>
              <w:ind w:firstLine="400"/>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3809A8EE">
        <w:tblPrEx>
          <w:tblCellMar>
            <w:top w:w="0" w:type="dxa"/>
            <w:left w:w="108" w:type="dxa"/>
            <w:bottom w:w="0" w:type="dxa"/>
            <w:right w:w="108" w:type="dxa"/>
          </w:tblCellMar>
        </w:tblPrEx>
        <w:trPr>
          <w:trHeight w:val="200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B202090">
            <w:pPr>
              <w:ind w:firstLine="400"/>
              <w:jc w:val="center"/>
              <w:rPr>
                <w:rFonts w:hint="eastAsia" w:ascii="宋体" w:hAnsi="宋体" w:cs="宋体"/>
                <w:color w:val="000000"/>
                <w:sz w:val="20"/>
                <w:szCs w:val="20"/>
              </w:rPr>
            </w:pPr>
          </w:p>
        </w:tc>
        <w:tc>
          <w:tcPr>
            <w:tcW w:w="3500"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7A8E0F4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 xml:space="preserve">目标1：宣传贯彻执行党和国家的教育方针、政策、法律法规等坚持依法执教、依法治学，贯彻执行县教育局的行政规章制度；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目标2：组织开展本校的教育科学科研和教育教学改革，全力推进素质教育实施；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 xml:space="preserve">目标3：按照义务教育课程计划，开齐课程，开足课时，认真实施小学的教育教学管理，全面推进素质教育，全面提高教育教学质量；  </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目标4：负责本校财务管理，筹措资金，改善办学条件等工作。</w:t>
            </w:r>
          </w:p>
        </w:tc>
        <w:tc>
          <w:tcPr>
            <w:tcW w:w="3928"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36ECDDE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截至2023年12月31日，本单位已完成保障办公人员数量166人，资助学生人数大于等于264人，开展教师培训数量大于等于95次，控辍保学率小于等于0%，助学金发放及时率100%，各类培训及学习次数大于等于35次，各类考试完成及时率100%，师生满意度大于等于95%。</w:t>
            </w:r>
          </w:p>
        </w:tc>
      </w:tr>
      <w:tr w14:paraId="5CC37B97">
        <w:tblPrEx>
          <w:tblCellMar>
            <w:top w:w="0" w:type="dxa"/>
            <w:left w:w="108" w:type="dxa"/>
            <w:bottom w:w="0" w:type="dxa"/>
            <w:right w:w="108" w:type="dxa"/>
          </w:tblCellMar>
        </w:tblPrEx>
        <w:trPr>
          <w:trHeight w:val="58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28D4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1295F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0FEEE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4D33B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C46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AA9F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0677A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298AE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510DF94A">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9335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E432A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780F8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8863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427D9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木垒哈萨克自治县大石头乡中心学校机构改革方案木垒哈萨克自治县大石头乡中心学校机构改革方案木垒哈萨克自治县大石头乡中心学校机构改革方案</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9FDB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E78E8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166人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54AA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69831A73">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02169E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E934A3">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952A0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794B9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&gt;=264人</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4E66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7A00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634FF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264人</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F70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7BED5312">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59A92A1">
            <w:pPr>
              <w:ind w:firstLine="400"/>
              <w:jc w:val="center"/>
              <w:rPr>
                <w:rFonts w:hint="eastAsia" w:ascii="宋体" w:hAnsi="宋体" w:cs="宋体"/>
                <w:color w:val="000000"/>
                <w:sz w:val="20"/>
                <w:szCs w:val="20"/>
              </w:rPr>
            </w:pP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5F8170E">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97BD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15F7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&gt;=12次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943E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1FF586">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AFD6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75B1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21EFAF4">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A98C6B5">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0C009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8098B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6EC2B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30254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3870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0478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5B9A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64D435C">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98E3597">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AA984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FCA82">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8AF6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&lt;=0%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DEA60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94A56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9223F">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C3CAF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w:t>
            </w:r>
          </w:p>
        </w:tc>
      </w:tr>
      <w:tr w14:paraId="56D586CF">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D1E0906">
            <w:pPr>
              <w:ind w:firstLine="400"/>
              <w:jc w:val="center"/>
              <w:rPr>
                <w:rFonts w:hint="eastAsia" w:ascii="宋体" w:hAnsi="宋体" w:cs="宋体"/>
                <w:color w:val="000000"/>
                <w:sz w:val="20"/>
                <w:szCs w:val="20"/>
              </w:rPr>
            </w:pP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CF48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4DFEF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A2ED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24501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21559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DDC73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3073C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03CA6035">
        <w:tblPrEx>
          <w:tblCellMar>
            <w:top w:w="0" w:type="dxa"/>
            <w:left w:w="108" w:type="dxa"/>
            <w:bottom w:w="0" w:type="dxa"/>
            <w:right w:w="108" w:type="dxa"/>
          </w:tblCellMar>
        </w:tblPrEx>
        <w:trPr>
          <w:trHeight w:val="740" w:hRule="atLeast"/>
          <w:jc w:val="center"/>
        </w:trPr>
        <w:tc>
          <w:tcPr>
            <w:tcW w:w="109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8A188E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E716B">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21EBB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5D91A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A934A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55F47">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350F9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35次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4FEA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1E11CB4E">
        <w:tblPrEx>
          <w:tblCellMar>
            <w:top w:w="0" w:type="dxa"/>
            <w:left w:w="108" w:type="dxa"/>
            <w:bottom w:w="0" w:type="dxa"/>
            <w:right w:w="108" w:type="dxa"/>
          </w:tblCellMar>
        </w:tblPrEx>
        <w:trPr>
          <w:trHeight w:val="740" w:hRule="atLeast"/>
          <w:jc w:val="center"/>
        </w:trPr>
        <w:tc>
          <w:tcPr>
            <w:tcW w:w="109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5D97765">
            <w:pPr>
              <w:ind w:firstLine="400"/>
              <w:jc w:val="center"/>
              <w:rPr>
                <w:rFonts w:hint="eastAsia" w:ascii="宋体" w:hAnsi="宋体" w:cs="宋体"/>
                <w:color w:val="000000"/>
                <w:sz w:val="20"/>
                <w:szCs w:val="20"/>
              </w:rPr>
            </w:pPr>
          </w:p>
        </w:tc>
        <w:tc>
          <w:tcPr>
            <w:tcW w:w="95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2C622A1">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B322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0272A">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&gt;=95次</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B3FA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A6C110">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496E4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95次</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7C5F4">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15</w:t>
            </w:r>
          </w:p>
        </w:tc>
      </w:tr>
      <w:tr w14:paraId="49F9E23F">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B12283">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585D7C0">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2CAA0">
            <w:pPr>
              <w:ind w:firstLine="400"/>
              <w:jc w:val="center"/>
              <w:rPr>
                <w:rFonts w:hint="eastAsia" w:ascii="宋体" w:hAnsi="宋体" w:cs="宋体"/>
                <w:color w:val="000000"/>
                <w:sz w:val="20"/>
                <w:szCs w:val="20"/>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1428D9">
            <w:pPr>
              <w:ind w:firstLine="400"/>
              <w:jc w:val="center"/>
              <w:rPr>
                <w:rFonts w:hint="eastAsia" w:ascii="宋体" w:hAnsi="宋体" w:cs="宋体"/>
                <w:color w:val="000000"/>
                <w:sz w:val="20"/>
                <w:szCs w:val="20"/>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700D09">
            <w:pPr>
              <w:ind w:firstLine="400"/>
              <w:jc w:val="center"/>
              <w:rPr>
                <w:rFonts w:hint="eastAsia" w:ascii="宋体" w:hAnsi="宋体" w:cs="宋体"/>
                <w:color w:val="000000"/>
                <w:sz w:val="20"/>
                <w:szCs w:val="20"/>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0E404">
            <w:pPr>
              <w:ind w:firstLine="400"/>
              <w:jc w:val="center"/>
              <w:rPr>
                <w:rFonts w:hint="eastAsia" w:ascii="宋体" w:hAnsi="宋体" w:cs="宋体"/>
                <w:color w:val="000000"/>
                <w:sz w:val="20"/>
                <w:szCs w:val="20"/>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4DD0">
            <w:pPr>
              <w:ind w:firstLine="400"/>
              <w:jc w:val="center"/>
              <w:rPr>
                <w:rFonts w:hint="eastAsia" w:ascii="宋体" w:hAnsi="宋体" w:cs="宋体"/>
                <w:color w:val="000000"/>
                <w:sz w:val="20"/>
                <w:szCs w:val="20"/>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3DEEAB">
            <w:pPr>
              <w:ind w:firstLine="400"/>
              <w:jc w:val="center"/>
              <w:rPr>
                <w:rFonts w:hint="eastAsia" w:ascii="宋体" w:hAnsi="宋体" w:cs="宋体"/>
                <w:color w:val="000000"/>
                <w:sz w:val="20"/>
                <w:szCs w:val="20"/>
              </w:rPr>
            </w:pPr>
          </w:p>
        </w:tc>
      </w:tr>
      <w:tr w14:paraId="6E9C7F11">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6979B5">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6EE107">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BC64C">
            <w:pPr>
              <w:ind w:firstLine="400"/>
              <w:jc w:val="center"/>
              <w:rPr>
                <w:rFonts w:hint="eastAsia" w:ascii="宋体" w:hAnsi="宋体" w:cs="宋体"/>
                <w:color w:val="000000"/>
                <w:sz w:val="20"/>
                <w:szCs w:val="20"/>
              </w:rPr>
            </w:pP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B33C15">
            <w:pPr>
              <w:ind w:firstLine="400"/>
              <w:jc w:val="center"/>
              <w:rPr>
                <w:rFonts w:hint="eastAsia" w:ascii="宋体" w:hAnsi="宋体" w:cs="宋体"/>
                <w:color w:val="000000"/>
                <w:sz w:val="20"/>
                <w:szCs w:val="20"/>
              </w:rPr>
            </w:pP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14CFD1">
            <w:pPr>
              <w:ind w:firstLine="400"/>
              <w:jc w:val="center"/>
              <w:rPr>
                <w:rFonts w:hint="eastAsia" w:ascii="宋体" w:hAnsi="宋体" w:cs="宋体"/>
                <w:color w:val="000000"/>
                <w:sz w:val="20"/>
                <w:szCs w:val="20"/>
              </w:rPr>
            </w:pP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7544C4">
            <w:pPr>
              <w:ind w:firstLine="400"/>
              <w:jc w:val="center"/>
              <w:rPr>
                <w:rFonts w:hint="eastAsia" w:ascii="宋体" w:hAnsi="宋体" w:cs="宋体"/>
                <w:color w:val="000000"/>
                <w:sz w:val="20"/>
                <w:szCs w:val="20"/>
              </w:rPr>
            </w:pP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BE3C0">
            <w:pPr>
              <w:ind w:firstLine="400"/>
              <w:jc w:val="center"/>
              <w:rPr>
                <w:rFonts w:hint="eastAsia" w:ascii="宋体" w:hAnsi="宋体" w:cs="宋体"/>
                <w:color w:val="000000"/>
                <w:sz w:val="20"/>
                <w:szCs w:val="20"/>
              </w:rPr>
            </w:pP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20B5">
            <w:pPr>
              <w:ind w:firstLine="400"/>
              <w:jc w:val="center"/>
              <w:rPr>
                <w:rFonts w:hint="eastAsia" w:ascii="宋体" w:hAnsi="宋体" w:cs="宋体"/>
                <w:color w:val="000000"/>
                <w:sz w:val="20"/>
                <w:szCs w:val="20"/>
              </w:rPr>
            </w:pPr>
          </w:p>
        </w:tc>
      </w:tr>
      <w:tr w14:paraId="40028AD7">
        <w:tblPrEx>
          <w:tblCellMar>
            <w:top w:w="0" w:type="dxa"/>
            <w:left w:w="108" w:type="dxa"/>
            <w:bottom w:w="0" w:type="dxa"/>
            <w:right w:w="108" w:type="dxa"/>
          </w:tblCellMar>
        </w:tblPrEx>
        <w:trPr>
          <w:trHeight w:val="740" w:hRule="atLeast"/>
          <w:jc w:val="center"/>
        </w:trPr>
        <w:tc>
          <w:tcPr>
            <w:tcW w:w="10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39BA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5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F37EFEC">
            <w:pPr>
              <w:ind w:firstLine="400"/>
              <w:jc w:val="center"/>
              <w:rPr>
                <w:rFonts w:hint="eastAsia" w:ascii="宋体" w:hAnsi="宋体" w:cs="宋体"/>
                <w:color w:val="000000"/>
                <w:sz w:val="20"/>
                <w:szCs w:val="20"/>
              </w:rPr>
            </w:pPr>
          </w:p>
        </w:tc>
        <w:tc>
          <w:tcPr>
            <w:tcW w:w="126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C13C9">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8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00B2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21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941EC">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木垒县大石头乡中心学校2023年工作计划</w:t>
            </w:r>
          </w:p>
        </w:tc>
        <w:tc>
          <w:tcPr>
            <w:tcW w:w="93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32B148">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7F9FE">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9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CE28DD">
            <w:pPr>
              <w:widowControl/>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3C952ACE">
      <w:pPr>
        <w:ind w:firstLine="640" w:firstLineChars="200"/>
        <w:jc w:val="left"/>
        <w:rPr>
          <w:rFonts w:hint="eastAsia" w:ascii="黑体" w:hAnsi="黑体" w:eastAsia="黑体" w:cs="宋体"/>
          <w:bCs/>
          <w:kern w:val="0"/>
          <w:sz w:val="32"/>
          <w:szCs w:val="32"/>
        </w:rPr>
      </w:pPr>
    </w:p>
    <w:p w14:paraId="4197EC5D">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538938">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2BC41697">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t>第三部分 专业名词解释</w:t>
      </w:r>
      <w:bookmarkEnd w:id="30"/>
      <w:bookmarkEnd w:id="31"/>
    </w:p>
    <w:p w14:paraId="1CA3726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4568A13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9FCFBD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5955560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9D2CB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6C375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738564A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F73447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6416755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CA0DBA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52178D54">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6C95AC6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504B46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608AA9E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2A55A90">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5C901702">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1ECF999F">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1D451FD6">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7FE31B9F">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46A79C85">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272C7A9A">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0682914">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66FCDAE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0D65B1E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116674F6">
      <w:pPr>
        <w:ind w:firstLine="640" w:firstLineChars="200"/>
        <w:rPr>
          <w:rFonts w:ascii="仿宋_GB2312" w:eastAsia="仿宋_GB2312"/>
          <w:sz w:val="32"/>
          <w:szCs w:val="32"/>
        </w:rPr>
      </w:pPr>
    </w:p>
    <w:p w14:paraId="22A1C1E2">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83AC7">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5AD5E5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5AD5E51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ED38BA"/>
    <w:rsid w:val="00021A99"/>
    <w:rsid w:val="00213C59"/>
    <w:rsid w:val="002F0EB4"/>
    <w:rsid w:val="00304A4C"/>
    <w:rsid w:val="003210CE"/>
    <w:rsid w:val="003E3043"/>
    <w:rsid w:val="00437006"/>
    <w:rsid w:val="004E72C6"/>
    <w:rsid w:val="005D7319"/>
    <w:rsid w:val="006019F0"/>
    <w:rsid w:val="0065068E"/>
    <w:rsid w:val="00790A8C"/>
    <w:rsid w:val="00A4206A"/>
    <w:rsid w:val="00A543F2"/>
    <w:rsid w:val="00B37A2A"/>
    <w:rsid w:val="00B70D59"/>
    <w:rsid w:val="00D05A7D"/>
    <w:rsid w:val="00ED38BA"/>
    <w:rsid w:val="00EF188A"/>
    <w:rsid w:val="00F52A8D"/>
    <w:rsid w:val="00F82EAF"/>
    <w:rsid w:val="00F8578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6FE7C35"/>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0A4CBF"/>
    <w:rsid w:val="1C290ED5"/>
    <w:rsid w:val="1C317E4F"/>
    <w:rsid w:val="1C472464"/>
    <w:rsid w:val="1D22799A"/>
    <w:rsid w:val="1D5C1A72"/>
    <w:rsid w:val="1DAF458D"/>
    <w:rsid w:val="1E086ACE"/>
    <w:rsid w:val="1E62130A"/>
    <w:rsid w:val="1E97358B"/>
    <w:rsid w:val="1EAA4A5F"/>
    <w:rsid w:val="1EB96528"/>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4FB2593"/>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3F3C20"/>
    <w:rsid w:val="405470BD"/>
    <w:rsid w:val="40794A29"/>
    <w:rsid w:val="40834692"/>
    <w:rsid w:val="41431AD5"/>
    <w:rsid w:val="414757DF"/>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B2251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1B7C63"/>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autoRedefine/>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6157</Words>
  <Characters>7007</Characters>
  <Lines>58</Lines>
  <Paragraphs>16</Paragraphs>
  <TotalTime>50</TotalTime>
  <ScaleCrop>false</ScaleCrop>
  <LinksUpToDate>false</LinksUpToDate>
  <CharactersWithSpaces>7021</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2024-11-12T10:24:14Z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D624B15633CD43C8BF9435464A96BF70</vt:lpwstr>
  </property>
</Properties>
</file>